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75D76" w14:textId="274CE03D" w:rsidR="00F77BCF" w:rsidRDefault="00F77BCF" w:rsidP="00F77BCF">
      <w:pPr>
        <w:spacing w:line="276" w:lineRule="auto"/>
        <w:rPr>
          <w:noProof/>
        </w:rPr>
      </w:pPr>
      <w:r>
        <w:rPr>
          <w:noProof/>
        </w:rPr>
        <w:t>Supplementary figures</w:t>
      </w:r>
    </w:p>
    <w:p w14:paraId="3019E4EC" w14:textId="1A69256A" w:rsidR="00F77BCF" w:rsidRPr="008D3218" w:rsidRDefault="00F77BCF" w:rsidP="00F77BCF">
      <w:pPr>
        <w:pStyle w:val="MDPI52figure"/>
        <w:rPr>
          <w:noProof/>
        </w:rPr>
      </w:pPr>
      <w:bookmarkStart w:id="0" w:name="_GoBack"/>
      <w:bookmarkEnd w:id="0"/>
      <w:r w:rsidRPr="008D3218">
        <w:rPr>
          <w:noProof/>
        </w:rPr>
        <w:drawing>
          <wp:inline distT="0" distB="0" distL="0" distR="0" wp14:anchorId="203091EF" wp14:editId="44C6D1BD">
            <wp:extent cx="3764280" cy="2986405"/>
            <wp:effectExtent l="0" t="0" r="0" b="0"/>
            <wp:docPr id="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280" cy="298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89DAB" w14:textId="77777777" w:rsidR="00F77BCF" w:rsidRDefault="00F77BCF" w:rsidP="00F77BCF">
      <w:pPr>
        <w:pStyle w:val="MDPI51figurecaption"/>
      </w:pPr>
      <w:r w:rsidRPr="00F77BCF">
        <w:rPr>
          <w:b/>
        </w:rPr>
        <w:t>S</w:t>
      </w:r>
      <w:r>
        <w:rPr>
          <w:b/>
        </w:rPr>
        <w:t xml:space="preserve">upplementary Fig. 1:  </w:t>
      </w:r>
      <w:r>
        <w:t xml:space="preserve">Venn diagram showing the overlap (percentage distribution) of identified peptides in the DDM fraction between six technical replicates. Three technical replicates were either purified by </w:t>
      </w:r>
      <w:r w:rsidRPr="001118EE">
        <w:rPr>
          <w:rFonts w:cs="Arial"/>
        </w:rPr>
        <w:t>ZIPTIP</w:t>
      </w:r>
      <w:r w:rsidRPr="001118EE">
        <w:rPr>
          <w:rFonts w:cs="Arial"/>
          <w:vertAlign w:val="superscript"/>
        </w:rPr>
        <w:t>®</w:t>
      </w:r>
      <w:r>
        <w:t xml:space="preserve"> pipette tips or </w:t>
      </w:r>
      <w:r w:rsidRPr="001118EE">
        <w:rPr>
          <w:rFonts w:cs="Arial"/>
        </w:rPr>
        <w:t>SOLAµ</w:t>
      </w:r>
      <w:r w:rsidRPr="001118EE">
        <w:rPr>
          <w:rFonts w:cs="Arial"/>
          <w:vertAlign w:val="superscript"/>
        </w:rPr>
        <w:t>TM</w:t>
      </w:r>
      <w:r>
        <w:t xml:space="preserve"> microtiter plates. On average 60±1 </w:t>
      </w:r>
      <w:r w:rsidRPr="00377093">
        <w:t>% of all identified p</w:t>
      </w:r>
      <w:r>
        <w:t>eptides</w:t>
      </w:r>
      <w:r w:rsidRPr="00377093">
        <w:t xml:space="preserve"> were detected with both SPE-based purification methods</w:t>
      </w:r>
      <w:r>
        <w:t>.</w:t>
      </w:r>
    </w:p>
    <w:p w14:paraId="18059253" w14:textId="72038887" w:rsidR="00F77BCF" w:rsidRDefault="00F77BCF" w:rsidP="00F77BCF">
      <w:pPr>
        <w:pStyle w:val="MDPI52figure"/>
        <w:rPr>
          <w:sz w:val="22"/>
        </w:rPr>
      </w:pPr>
      <w:r w:rsidRPr="008D3218">
        <w:rPr>
          <w:noProof/>
        </w:rPr>
        <w:drawing>
          <wp:inline distT="0" distB="0" distL="0" distR="0" wp14:anchorId="025B4ED3" wp14:editId="7C8AC063">
            <wp:extent cx="3936365" cy="3176905"/>
            <wp:effectExtent l="0" t="0" r="0" b="0"/>
            <wp:docPr id="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365" cy="317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B2E87" w14:textId="77777777" w:rsidR="00F77BCF" w:rsidRDefault="00F77BCF" w:rsidP="00F77BCF">
      <w:pPr>
        <w:pStyle w:val="MDPI51figurecaption"/>
      </w:pPr>
      <w:r w:rsidRPr="00F77BCF">
        <w:rPr>
          <w:b/>
        </w:rPr>
        <w:t>S</w:t>
      </w:r>
      <w:r>
        <w:rPr>
          <w:b/>
        </w:rPr>
        <w:t xml:space="preserve">upplementary Fig. 2:  </w:t>
      </w:r>
      <w:r>
        <w:t xml:space="preserve">Venn diagram showing the overlap (percentage distribution) of identified peptides in the TFA fraction between six technical replicates. Three technical replicates were either purified by </w:t>
      </w:r>
      <w:r w:rsidRPr="001118EE">
        <w:rPr>
          <w:rFonts w:cs="Arial"/>
        </w:rPr>
        <w:t>ZIPTIP</w:t>
      </w:r>
      <w:r w:rsidRPr="001118EE">
        <w:rPr>
          <w:rFonts w:cs="Arial"/>
          <w:vertAlign w:val="superscript"/>
        </w:rPr>
        <w:t>®</w:t>
      </w:r>
      <w:r>
        <w:t xml:space="preserve"> pipette tips or </w:t>
      </w:r>
      <w:r w:rsidRPr="001118EE">
        <w:rPr>
          <w:rFonts w:cs="Arial"/>
        </w:rPr>
        <w:t>SOLAµ</w:t>
      </w:r>
      <w:r w:rsidRPr="001118EE">
        <w:rPr>
          <w:rFonts w:cs="Arial"/>
          <w:vertAlign w:val="superscript"/>
        </w:rPr>
        <w:t>TM</w:t>
      </w:r>
      <w:r>
        <w:t xml:space="preserve"> microtiter plates. On average 62±5 </w:t>
      </w:r>
      <w:r w:rsidRPr="00377093">
        <w:t>% of all identified p</w:t>
      </w:r>
      <w:r>
        <w:t>eptides</w:t>
      </w:r>
      <w:r w:rsidRPr="00377093">
        <w:t xml:space="preserve"> were detected with both SPE-based purification methods</w:t>
      </w:r>
      <w:r>
        <w:t>.</w:t>
      </w:r>
    </w:p>
    <w:p w14:paraId="15C4C99C" w14:textId="1395BB65" w:rsidR="00F77BCF" w:rsidRDefault="00F77BCF" w:rsidP="00F77BCF">
      <w:pPr>
        <w:pStyle w:val="MDPI52figure"/>
        <w:rPr>
          <w:sz w:val="22"/>
        </w:rPr>
      </w:pPr>
      <w:r w:rsidRPr="008D3218">
        <w:rPr>
          <w:noProof/>
        </w:rPr>
        <w:lastRenderedPageBreak/>
        <w:drawing>
          <wp:inline distT="0" distB="0" distL="0" distR="0" wp14:anchorId="03EBB5B2" wp14:editId="35D6FC31">
            <wp:extent cx="4311015" cy="5521960"/>
            <wp:effectExtent l="0" t="0" r="0" b="0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015" cy="552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733F9" w14:textId="77777777" w:rsidR="00F77BCF" w:rsidRDefault="00F77BCF" w:rsidP="00F77BCF">
      <w:pPr>
        <w:pStyle w:val="MDPI51figurecaption"/>
      </w:pPr>
      <w:r w:rsidRPr="00F77BCF">
        <w:rPr>
          <w:b/>
        </w:rPr>
        <w:t>S</w:t>
      </w:r>
      <w:r>
        <w:rPr>
          <w:b/>
        </w:rPr>
        <w:t>upplementary Fig. 3</w:t>
      </w:r>
      <w:r w:rsidRPr="00AB002D">
        <w:t xml:space="preserve">:   </w:t>
      </w:r>
      <w:r>
        <w:t>Tryptic in-gel d</w:t>
      </w:r>
      <w:r w:rsidRPr="00AB002D">
        <w:t xml:space="preserve">igestion of recombinant protein </w:t>
      </w:r>
      <w:r w:rsidRPr="008B0A2E">
        <w:rPr>
          <w:i/>
        </w:rPr>
        <w:t>MECP2</w:t>
      </w:r>
      <w:r w:rsidRPr="00AB002D">
        <w:t>.</w:t>
      </w:r>
      <w:r>
        <w:rPr>
          <w:b/>
        </w:rPr>
        <w:t xml:space="preserve"> (A) </w:t>
      </w:r>
      <w:r>
        <w:t xml:space="preserve">1D SDS page of recombinant protein </w:t>
      </w:r>
      <w:r w:rsidRPr="008B0A2E">
        <w:rPr>
          <w:i/>
        </w:rPr>
        <w:t>MECP2</w:t>
      </w:r>
      <w:r>
        <w:t xml:space="preserve"> (≈ 62 kDa) with 0.4 µg per lane (N=18). </w:t>
      </w:r>
      <w:r w:rsidRPr="00AB002D">
        <w:rPr>
          <w:b/>
        </w:rPr>
        <w:t xml:space="preserve">(B) </w:t>
      </w:r>
      <w:r>
        <w:t xml:space="preserve">Label-free quantification (LFQ) result of recombinant protein </w:t>
      </w:r>
      <w:r w:rsidRPr="008B0A2E">
        <w:rPr>
          <w:i/>
        </w:rPr>
        <w:t>MECP2</w:t>
      </w:r>
      <w:r>
        <w:t xml:space="preserve"> after peptide enrichment by either </w:t>
      </w:r>
      <w:r w:rsidRPr="001118EE">
        <w:rPr>
          <w:rFonts w:cs="Arial"/>
        </w:rPr>
        <w:t>ZIPTIP</w:t>
      </w:r>
      <w:r w:rsidRPr="001118EE">
        <w:rPr>
          <w:rFonts w:cs="Arial"/>
          <w:vertAlign w:val="superscript"/>
        </w:rPr>
        <w:t>®</w:t>
      </w:r>
      <w:r>
        <w:t xml:space="preserve"> pipette tips (N=9) or </w:t>
      </w:r>
      <w:r w:rsidRPr="001118EE">
        <w:rPr>
          <w:rFonts w:cs="Arial"/>
        </w:rPr>
        <w:t>SOLAµ</w:t>
      </w:r>
      <w:r w:rsidRPr="001118EE">
        <w:rPr>
          <w:rFonts w:cs="Arial"/>
          <w:vertAlign w:val="superscript"/>
        </w:rPr>
        <w:t>TM</w:t>
      </w:r>
      <w:r>
        <w:t xml:space="preserve"> microtiter plates (N=9). LFQ analysis showed on average a slightly higher abundance in </w:t>
      </w:r>
      <w:r w:rsidRPr="001118EE">
        <w:rPr>
          <w:rFonts w:cs="Arial"/>
        </w:rPr>
        <w:t>ZIPTIP</w:t>
      </w:r>
      <w:r w:rsidRPr="001118EE">
        <w:rPr>
          <w:rFonts w:cs="Arial"/>
          <w:vertAlign w:val="superscript"/>
        </w:rPr>
        <w:t>®</w:t>
      </w:r>
      <w:r>
        <w:t xml:space="preserve">-purified replicates, but no significant difference (p = 0.24; N=9 per group) was found between both </w:t>
      </w:r>
      <w:r w:rsidRPr="00CA57E2">
        <w:t>SPE-based purification methods</w:t>
      </w:r>
      <w:r>
        <w:t>.</w:t>
      </w:r>
    </w:p>
    <w:sectPr w:rsidR="00F77BCF" w:rsidSect="00F77BC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9EC5B" w14:textId="77777777" w:rsidR="00315229" w:rsidRDefault="00315229">
      <w:pPr>
        <w:spacing w:line="240" w:lineRule="auto"/>
      </w:pPr>
      <w:r>
        <w:separator/>
      </w:r>
    </w:p>
  </w:endnote>
  <w:endnote w:type="continuationSeparator" w:id="0">
    <w:p w14:paraId="3E60C679" w14:textId="77777777" w:rsidR="00315229" w:rsidRDefault="003152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E63E8" w14:textId="77777777" w:rsidR="0004400E" w:rsidRPr="00A71A3D" w:rsidRDefault="0004400E" w:rsidP="0004400E">
    <w:pPr>
      <w:pStyle w:val="Footer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C0B57" w14:textId="77777777" w:rsidR="0004400E" w:rsidRPr="008B308E" w:rsidRDefault="0004400E" w:rsidP="0004400E">
    <w:pPr>
      <w:pStyle w:val="MDPIfooterfirstpage"/>
      <w:spacing w:line="240" w:lineRule="auto"/>
      <w:jc w:val="both"/>
      <w:rPr>
        <w:lang w:val="fr-CH"/>
      </w:rPr>
    </w:pPr>
    <w:r w:rsidRPr="00B04A30">
      <w:rPr>
        <w:i/>
        <w:iCs/>
        <w:lang w:val="fr-CH"/>
      </w:rPr>
      <w:t>Int. J. Mol. Sci.</w:t>
    </w:r>
    <w:r w:rsidRPr="00176A50">
      <w:rPr>
        <w:i/>
        <w:lang w:val="fr-CH"/>
      </w:rPr>
      <w:t xml:space="preserve"> </w:t>
    </w:r>
    <w:r>
      <w:rPr>
        <w:b/>
        <w:iCs/>
        <w:lang w:val="fr-CH"/>
      </w:rPr>
      <w:t>2018</w:t>
    </w:r>
    <w:r w:rsidRPr="00B04A30">
      <w:rPr>
        <w:iCs/>
        <w:lang w:val="fr-CH"/>
      </w:rPr>
      <w:t>,</w:t>
    </w:r>
    <w:r w:rsidRPr="00176A50">
      <w:rPr>
        <w:i/>
        <w:lang w:val="fr-CH"/>
      </w:rPr>
      <w:t xml:space="preserve"> </w:t>
    </w:r>
    <w:r>
      <w:rPr>
        <w:i/>
        <w:lang w:val="fr-CH"/>
      </w:rPr>
      <w:t>19</w:t>
    </w:r>
    <w:r w:rsidRPr="004127E0">
      <w:rPr>
        <w:rFonts w:eastAsia="宋体"/>
        <w:lang w:eastAsia="zh-CN"/>
      </w:rPr>
      <w:t>,</w:t>
    </w:r>
    <w:r w:rsidRPr="004127E0">
      <w:rPr>
        <w:lang w:val="fr-CH"/>
      </w:rPr>
      <w:t xml:space="preserve"> </w:t>
    </w:r>
    <w:r>
      <w:rPr>
        <w:lang w:val="fr-CH"/>
      </w:rPr>
      <w:t>x</w:t>
    </w:r>
    <w:r w:rsidRPr="008B308E">
      <w:rPr>
        <w:lang w:val="fr-CH"/>
      </w:rPr>
      <w:t>; doi:</w:t>
    </w:r>
    <w:r w:rsidRPr="00AB4405">
      <w:t xml:space="preserve"> </w:t>
    </w:r>
    <w:r w:rsidRPr="00AB4405">
      <w:rPr>
        <w:lang w:val="fr-CH"/>
      </w:rPr>
      <w:t>FOR PEER REVIEW</w:t>
    </w:r>
    <w:r>
      <w:rPr>
        <w:lang w:val="fr-CH"/>
      </w:rPr>
      <w:t xml:space="preserve"> </w:t>
    </w:r>
    <w:r w:rsidRPr="008B308E">
      <w:rPr>
        <w:lang w:val="fr-CH"/>
      </w:rPr>
      <w:tab/>
      <w:t>www.mdpi.com/journal/</w:t>
    </w:r>
    <w:r>
      <w:t>ijms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A87C8" w14:textId="77777777" w:rsidR="00315229" w:rsidRDefault="00315229">
      <w:pPr>
        <w:spacing w:line="240" w:lineRule="auto"/>
      </w:pPr>
      <w:r>
        <w:separator/>
      </w:r>
    </w:p>
  </w:footnote>
  <w:footnote w:type="continuationSeparator" w:id="0">
    <w:p w14:paraId="71D7884F" w14:textId="77777777" w:rsidR="00315229" w:rsidRDefault="003152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BF1FF" w14:textId="77777777" w:rsidR="0004400E" w:rsidRDefault="0004400E" w:rsidP="0004400E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7613D" w14:textId="77777777" w:rsidR="0004400E" w:rsidRPr="003257E1" w:rsidRDefault="0004400E" w:rsidP="0004400E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Int. J. Mol. Sci. </w:t>
    </w:r>
    <w:r>
      <w:rPr>
        <w:rFonts w:ascii="Palatino Linotype" w:hAnsi="Palatino Linotype"/>
        <w:b/>
        <w:sz w:val="16"/>
      </w:rPr>
      <w:t>2018</w:t>
    </w:r>
    <w:r>
      <w:rPr>
        <w:rFonts w:ascii="Palatino Linotype" w:hAnsi="Palatino Linotype"/>
        <w:sz w:val="16"/>
      </w:rPr>
      <w:t xml:space="preserve">, </w:t>
    </w:r>
    <w:r>
      <w:rPr>
        <w:rFonts w:ascii="Palatino Linotype" w:hAnsi="Palatino Linotype"/>
        <w:i/>
        <w:sz w:val="16"/>
      </w:rPr>
      <w:t>19</w:t>
    </w:r>
    <w:r>
      <w:rPr>
        <w:rFonts w:ascii="Palatino Linotype" w:hAnsi="Palatino Linotype"/>
        <w:sz w:val="16"/>
      </w:rPr>
      <w:t xml:space="preserve">, x FOR PEER REVIEW </w:t>
    </w:r>
    <w:r>
      <w:rPr>
        <w:rFonts w:ascii="Palatino Linotype" w:hAnsi="Palatino Linotype"/>
        <w:sz w:val="16"/>
      </w:rPr>
      <w:tab/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PAGE  </w:instrText>
    </w:r>
    <w:r>
      <w:rPr>
        <w:rFonts w:ascii="Palatino Linotype" w:hAnsi="Palatino Linotype"/>
        <w:sz w:val="16"/>
      </w:rPr>
      <w:fldChar w:fldCharType="separate"/>
    </w:r>
    <w:r w:rsidR="003A791E">
      <w:rPr>
        <w:rFonts w:ascii="Palatino Linotype" w:hAnsi="Palatino Linotype"/>
        <w:noProof/>
        <w:sz w:val="16"/>
      </w:rPr>
      <w:t>3</w:t>
    </w:r>
    <w:r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NUMPAGES  </w:instrText>
    </w:r>
    <w:r>
      <w:rPr>
        <w:rFonts w:ascii="Palatino Linotype" w:hAnsi="Palatino Linotype"/>
        <w:sz w:val="16"/>
      </w:rPr>
      <w:fldChar w:fldCharType="separate"/>
    </w:r>
    <w:r w:rsidR="003A791E">
      <w:rPr>
        <w:rFonts w:ascii="Palatino Linotype" w:hAnsi="Palatino Linotype"/>
        <w:noProof/>
        <w:sz w:val="16"/>
      </w:rPr>
      <w:t>5</w:t>
    </w:r>
    <w:r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48D88" w14:textId="513216C6" w:rsidR="0004400E" w:rsidRDefault="00F77BCF" w:rsidP="0004400E">
    <w:pPr>
      <w:pStyle w:val="MDPIheaderjournallogo"/>
    </w:pPr>
    <w:r>
      <w:rPr>
        <w:noProof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1F2F6E7B" wp14:editId="5BF7EC53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D2CCAF" w14:textId="2F309432" w:rsidR="0004400E" w:rsidRDefault="00F77BCF" w:rsidP="0004400E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646BFC">
                            <w:rPr>
                              <w:i w:val="0"/>
                              <w:noProof/>
                              <w:szCs w:val="16"/>
                              <w:lang w:eastAsia="zh-CN"/>
                            </w:rPr>
                            <w:drawing>
                              <wp:inline distT="0" distB="0" distL="0" distR="0" wp14:anchorId="3D6AF1D9" wp14:editId="6610D7B8">
                                <wp:extent cx="540385" cy="356235"/>
                                <wp:effectExtent l="0" t="0" r="0" b="0"/>
                                <wp:docPr id="3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0385" cy="3562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2F6E7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4.8pt;margin-top:51pt;width:42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" stroked="f">
              <v:textbox inset="0,0,0,0">
                <w:txbxContent>
                  <w:p w14:paraId="29D2CCAF" w14:textId="2F309432" w:rsidR="0004400E" w:rsidRDefault="00F77BCF" w:rsidP="0004400E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646BFC">
                      <w:rPr>
                        <w:i w:val="0"/>
                        <w:noProof/>
                        <w:szCs w:val="16"/>
                        <w:lang w:eastAsia="zh-CN"/>
                      </w:rPr>
                      <w:drawing>
                        <wp:inline distT="0" distB="0" distL="0" distR="0" wp14:anchorId="3D6AF1D9" wp14:editId="6610D7B8">
                          <wp:extent cx="540385" cy="356235"/>
                          <wp:effectExtent l="0" t="0" r="0" b="0"/>
                          <wp:docPr id="3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0385" cy="356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eastAsia="zh-CN"/>
      </w:rPr>
      <w:drawing>
        <wp:inline distT="0" distB="0" distL="0" distR="0" wp14:anchorId="79AE2BCA" wp14:editId="0CD37C94">
          <wp:extent cx="1668780" cy="439420"/>
          <wp:effectExtent l="0" t="0" r="0" b="0"/>
          <wp:docPr id="4" name="Picture 3" descr="C:\Users\home\Desktop\logos\ijms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home\Desktop\logos\ijms_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78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attachedTemplate r:id="rId1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BCF"/>
    <w:rsid w:val="0004400E"/>
    <w:rsid w:val="000C151B"/>
    <w:rsid w:val="0016006D"/>
    <w:rsid w:val="001D4D23"/>
    <w:rsid w:val="001E2AEB"/>
    <w:rsid w:val="0021217E"/>
    <w:rsid w:val="002223FC"/>
    <w:rsid w:val="00315229"/>
    <w:rsid w:val="00324292"/>
    <w:rsid w:val="00326141"/>
    <w:rsid w:val="0037766B"/>
    <w:rsid w:val="003A15E9"/>
    <w:rsid w:val="003A791E"/>
    <w:rsid w:val="003F1497"/>
    <w:rsid w:val="00401D30"/>
    <w:rsid w:val="0053256F"/>
    <w:rsid w:val="00562123"/>
    <w:rsid w:val="005664C6"/>
    <w:rsid w:val="005B6005"/>
    <w:rsid w:val="005C5DE8"/>
    <w:rsid w:val="00646BFC"/>
    <w:rsid w:val="00691777"/>
    <w:rsid w:val="00692393"/>
    <w:rsid w:val="007648D8"/>
    <w:rsid w:val="008145DC"/>
    <w:rsid w:val="008474ED"/>
    <w:rsid w:val="009F70E6"/>
    <w:rsid w:val="00A15FF4"/>
    <w:rsid w:val="00AB5AEE"/>
    <w:rsid w:val="00B72696"/>
    <w:rsid w:val="00DE07DE"/>
    <w:rsid w:val="00E20009"/>
    <w:rsid w:val="00E82DCF"/>
    <w:rsid w:val="00EA591D"/>
    <w:rsid w:val="00F42807"/>
    <w:rsid w:val="00F54E21"/>
    <w:rsid w:val="00F7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013C97"/>
  <w15:chartTrackingRefBased/>
  <w15:docId w15:val="{BBF95212-FED6-4FD9-9935-BCCA33DF7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6BFC"/>
    <w:pPr>
      <w:spacing w:line="340" w:lineRule="atLeast"/>
      <w:jc w:val="both"/>
    </w:pPr>
    <w:rPr>
      <w:rFonts w:ascii="Times New Roman" w:eastAsia="Times New Roman" w:hAnsi="Times New Roman"/>
      <w:color w:val="000000"/>
      <w:sz w:val="24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646BFC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646BFC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646BFC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646BFC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646BFC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646BFC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646BFC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646BFC"/>
    <w:pPr>
      <w:pBdr>
        <w:bottom w:val="single" w:sz="6" w:space="1" w:color="auto"/>
      </w:pBdr>
      <w:ind w:firstLine="0"/>
    </w:pPr>
    <w:rPr>
      <w:snapToGrid/>
      <w:szCs w:val="24"/>
    </w:rPr>
  </w:style>
  <w:style w:type="paragraph" w:styleId="Footer">
    <w:name w:val="footer"/>
    <w:basedOn w:val="Normal"/>
    <w:link w:val="FooterChar"/>
    <w:uiPriority w:val="99"/>
    <w:rsid w:val="00646BF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646BFC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styleId="Header">
    <w:name w:val="header"/>
    <w:basedOn w:val="Normal"/>
    <w:link w:val="HeaderChar"/>
    <w:uiPriority w:val="99"/>
    <w:rsid w:val="00646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646BFC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646BFC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646BFC"/>
    <w:pPr>
      <w:ind w:firstLine="0"/>
    </w:pPr>
  </w:style>
  <w:style w:type="paragraph" w:customStyle="1" w:styleId="MDPI33textspaceafter">
    <w:name w:val="MDPI_3.3_text_space_after"/>
    <w:basedOn w:val="MDPI31text"/>
    <w:qFormat/>
    <w:rsid w:val="00646BFC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646BFC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646BFC"/>
    <w:pPr>
      <w:spacing w:after="120"/>
    </w:pPr>
  </w:style>
  <w:style w:type="paragraph" w:customStyle="1" w:styleId="MDPI36textafterlist">
    <w:name w:val="MDPI_3.6_text_after_list"/>
    <w:basedOn w:val="MDPI31text"/>
    <w:qFormat/>
    <w:rsid w:val="00646BFC"/>
    <w:pPr>
      <w:spacing w:before="120"/>
    </w:pPr>
  </w:style>
  <w:style w:type="paragraph" w:customStyle="1" w:styleId="MDPI37itemize">
    <w:name w:val="MDPI_3.7_itemize"/>
    <w:basedOn w:val="MDPI31text"/>
    <w:qFormat/>
    <w:rsid w:val="00646BFC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646BFC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646BFC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646BFC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646BFC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646BFC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B72696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646BFC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646BFC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646BFC"/>
    <w:pPr>
      <w:jc w:val="center"/>
    </w:pPr>
    <w:rPr>
      <w:rFonts w:ascii="Palatino Linotype" w:eastAsia="Times New Roman" w:hAnsi="Palatino Linotype"/>
      <w:snapToGrid w:val="0"/>
      <w:color w:val="00000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646BFC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646BFC"/>
    <w:rPr>
      <w:rFonts w:eastAsia="宋体"/>
      <w:color w:val="auto"/>
      <w:lang w:eastAsia="en-US"/>
    </w:rPr>
  </w:style>
  <w:style w:type="paragraph" w:customStyle="1" w:styleId="MDPI81theorem">
    <w:name w:val="MDPI_8.1_theorem"/>
    <w:basedOn w:val="MDPI32textnoindent"/>
    <w:qFormat/>
    <w:rsid w:val="00646BFC"/>
    <w:rPr>
      <w:i/>
    </w:rPr>
  </w:style>
  <w:style w:type="paragraph" w:customStyle="1" w:styleId="MDPI82proof">
    <w:name w:val="MDPI_8.2_proof"/>
    <w:basedOn w:val="MDPI32textnoindent"/>
    <w:qFormat/>
    <w:rsid w:val="00646BFC"/>
  </w:style>
  <w:style w:type="paragraph" w:customStyle="1" w:styleId="MDPIfooterfirstpage">
    <w:name w:val="MDPI_footer_firstpage"/>
    <w:basedOn w:val="Normal"/>
    <w:qFormat/>
    <w:rsid w:val="00646BFC"/>
    <w:pPr>
      <w:tabs>
        <w:tab w:val="right" w:pos="8845"/>
      </w:tabs>
      <w:adjustRightInd w:val="0"/>
      <w:snapToGrid w:val="0"/>
      <w:spacing w:before="120" w:line="160" w:lineRule="exact"/>
      <w:jc w:val="left"/>
    </w:pPr>
    <w:rPr>
      <w:rFonts w:ascii="Palatino Linotype" w:hAnsi="Palatino Linotype"/>
      <w:color w:val="auto"/>
      <w:sz w:val="16"/>
    </w:rPr>
  </w:style>
  <w:style w:type="paragraph" w:customStyle="1" w:styleId="MDPI31text">
    <w:name w:val="MDPI_3.1_text"/>
    <w:qFormat/>
    <w:rsid w:val="00646BFC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646BFC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646BFC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646BFC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jc w:val="left"/>
      <w:outlineLvl w:val="1"/>
    </w:pPr>
    <w:rPr>
      <w:rFonts w:ascii="Palatino Linotype" w:hAnsi="Palatino Linotype"/>
      <w:i/>
      <w:noProof/>
      <w:snapToGrid w:val="0"/>
      <w:sz w:val="20"/>
      <w:szCs w:val="22"/>
      <w:lang w:bidi="en-US"/>
    </w:rPr>
  </w:style>
  <w:style w:type="paragraph" w:customStyle="1" w:styleId="MDPI71References">
    <w:name w:val="MDPI_7.1_References"/>
    <w:basedOn w:val="MDPI62Acknowledgments"/>
    <w:qFormat/>
    <w:rsid w:val="00646BFC"/>
    <w:pPr>
      <w:numPr>
        <w:numId w:val="3"/>
      </w:numPr>
      <w:spacing w:before="0" w:line="260" w:lineRule="atLeast"/>
      <w:ind w:left="425" w:hanging="42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6BFC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6BFC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646BFC"/>
  </w:style>
  <w:style w:type="table" w:customStyle="1" w:styleId="MDPI41threelinetable">
    <w:name w:val="MDPI_4.1_three_line_table"/>
    <w:basedOn w:val="TableNormal"/>
    <w:uiPriority w:val="99"/>
    <w:rsid w:val="00B72696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3A791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iso-8859-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tif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PI\Desktop\template\ijms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ijms-template.dot</Template>
  <TotalTime>2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MDPI</dc:creator>
  <cp:keywords/>
  <dc:description/>
  <cp:lastModifiedBy>MDPI</cp:lastModifiedBy>
  <cp:revision>1</cp:revision>
  <dcterms:created xsi:type="dcterms:W3CDTF">2018-11-19T03:00:00Z</dcterms:created>
  <dcterms:modified xsi:type="dcterms:W3CDTF">2018-11-19T03:08:00Z</dcterms:modified>
</cp:coreProperties>
</file>